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AB" w:rsidRPr="00C14374" w:rsidRDefault="00C029FB" w:rsidP="00090695">
      <w:pPr>
        <w:jc w:val="right"/>
        <w:rPr>
          <w:b/>
          <w:lang w:val="en-CA"/>
        </w:rPr>
      </w:pPr>
      <w:r>
        <w:rPr>
          <w:noProof/>
          <w:lang w:val="en-US"/>
        </w:rPr>
        <w:drawing>
          <wp:anchor distT="0" distB="0" distL="114300" distR="114300" simplePos="0" relativeHeight="251664384" behindDoc="0" locked="0" layoutInCell="1" allowOverlap="1">
            <wp:simplePos x="0" y="0"/>
            <wp:positionH relativeFrom="column">
              <wp:posOffset>33655</wp:posOffset>
            </wp:positionH>
            <wp:positionV relativeFrom="paragraph">
              <wp:posOffset>-423545</wp:posOffset>
            </wp:positionV>
            <wp:extent cx="2114550" cy="457835"/>
            <wp:effectExtent l="0" t="0" r="0" b="0"/>
            <wp:wrapSquare wrapText="bothSides"/>
            <wp:docPr id="5" name="Picture 5" descr="C:\Users\Caroline\AppData\Local\Microsoft\Windows\Temporary Internet Files\Content.Word\New Picture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Temporary Internet Files\Content.Word\New Picture (10).pn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457835"/>
                    </a:xfrm>
                    <a:prstGeom prst="rect">
                      <a:avLst/>
                    </a:prstGeom>
                    <a:noFill/>
                    <a:ln>
                      <a:noFill/>
                    </a:ln>
                  </pic:spPr>
                </pic:pic>
              </a:graphicData>
            </a:graphic>
          </wp:anchor>
        </w:drawing>
      </w:r>
      <w:r w:rsidR="00090695">
        <w:rPr>
          <w:rFonts w:ascii="Helvetica" w:hAnsi="Helvetica" w:cs="Helvetica"/>
          <w:noProof/>
          <w:color w:val="234C8F"/>
          <w:sz w:val="18"/>
          <w:szCs w:val="18"/>
          <w:lang w:val="en-US"/>
        </w:rPr>
        <w:drawing>
          <wp:anchor distT="0" distB="0" distL="114300" distR="114300" simplePos="0" relativeHeight="251658240" behindDoc="0" locked="0" layoutInCell="1" allowOverlap="1">
            <wp:simplePos x="0" y="0"/>
            <wp:positionH relativeFrom="column">
              <wp:posOffset>2441575</wp:posOffset>
            </wp:positionH>
            <wp:positionV relativeFrom="paragraph">
              <wp:posOffset>-553720</wp:posOffset>
            </wp:positionV>
            <wp:extent cx="1626870" cy="723900"/>
            <wp:effectExtent l="0" t="0" r="0" b="0"/>
            <wp:wrapSquare wrapText="bothSides"/>
            <wp:docPr id="3" name="Picture 3" descr="http://www.euroace.org/Portals/0/Skins/EuroACE/images/header-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ace.org/Portals/0/Skins/EuroACE/images/header-logo.png">
                      <a:hlinkClick r:id="rId9"/>
                    </pic:cNvPr>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6870" cy="723900"/>
                    </a:xfrm>
                    <a:prstGeom prst="rect">
                      <a:avLst/>
                    </a:prstGeom>
                    <a:noFill/>
                    <a:ln>
                      <a:noFill/>
                    </a:ln>
                  </pic:spPr>
                </pic:pic>
              </a:graphicData>
            </a:graphic>
          </wp:anchor>
        </w:drawing>
      </w:r>
      <w:r w:rsidR="00090695">
        <w:rPr>
          <w:noProof/>
          <w:sz w:val="20"/>
          <w:lang w:val="en-US"/>
        </w:rPr>
        <w:drawing>
          <wp:anchor distT="0" distB="0" distL="114300" distR="114300" simplePos="0" relativeHeight="251659264" behindDoc="1" locked="0" layoutInCell="1" allowOverlap="1">
            <wp:simplePos x="0" y="0"/>
            <wp:positionH relativeFrom="column">
              <wp:posOffset>4258945</wp:posOffset>
            </wp:positionH>
            <wp:positionV relativeFrom="paragraph">
              <wp:posOffset>-434975</wp:posOffset>
            </wp:positionV>
            <wp:extent cx="1449070" cy="474345"/>
            <wp:effectExtent l="0" t="0" r="0" b="1905"/>
            <wp:wrapTight wrapText="bothSides">
              <wp:wrapPolygon edited="0">
                <wp:start x="0" y="0"/>
                <wp:lineTo x="0" y="20819"/>
                <wp:lineTo x="21297" y="20819"/>
                <wp:lineTo x="21297" y="0"/>
                <wp:lineTo x="0" y="0"/>
              </wp:wrapPolygon>
            </wp:wrapTight>
            <wp:docPr id="1" name="Picture 3" descr="VELUX_logo_568x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LUX_logo_568x424.jpg"/>
                    <pic:cNvPicPr>
                      <a:picLocks noChangeAspect="1" noChangeArrowheads="1"/>
                    </pic:cNvPicPr>
                  </pic:nvPicPr>
                  <pic:blipFill rotWithShape="1">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b="55963"/>
                    <a:stretch/>
                  </pic:blipFill>
                  <pic:spPr bwMode="auto">
                    <a:xfrm>
                      <a:off x="0" y="0"/>
                      <a:ext cx="1449070" cy="47434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r w:rsidR="00D166AB" w:rsidRPr="00C14374">
        <w:rPr>
          <w:b/>
          <w:lang w:val="en-CA"/>
        </w:rPr>
        <w:t>PRESS RELEASE</w:t>
      </w:r>
    </w:p>
    <w:p w:rsidR="00D166AB" w:rsidRPr="00D166AB" w:rsidRDefault="00D166AB" w:rsidP="00D166AB">
      <w:pPr>
        <w:jc w:val="right"/>
        <w:rPr>
          <w:lang w:val="en-CA"/>
        </w:rPr>
      </w:pPr>
      <w:r w:rsidRPr="00D166AB">
        <w:rPr>
          <w:lang w:val="en-CA"/>
        </w:rPr>
        <w:t>Brussels, 25th June 2014</w:t>
      </w:r>
    </w:p>
    <w:p w:rsidR="00D166AB" w:rsidRDefault="00D166AB">
      <w:pPr>
        <w:rPr>
          <w:lang w:val="en-CA"/>
        </w:rPr>
      </w:pPr>
    </w:p>
    <w:p w:rsidR="00F86E89" w:rsidRPr="00F452E3" w:rsidRDefault="00F452E3" w:rsidP="00F452E3">
      <w:pPr>
        <w:jc w:val="both"/>
        <w:rPr>
          <w:b/>
          <w:color w:val="00B050"/>
          <w:sz w:val="24"/>
          <w:lang w:val="en-CA"/>
        </w:rPr>
      </w:pPr>
      <w:r w:rsidRPr="00F452E3">
        <w:rPr>
          <w:b/>
          <w:color w:val="00B050"/>
          <w:sz w:val="24"/>
          <w:lang w:val="en-CA"/>
        </w:rPr>
        <w:t>Energy Performance Certificates:</w:t>
      </w:r>
      <w:r w:rsidR="006329BF">
        <w:rPr>
          <w:b/>
          <w:color w:val="00B050"/>
          <w:sz w:val="24"/>
          <w:lang w:val="en-CA"/>
        </w:rPr>
        <w:t xml:space="preserve"> boosting awareness of efficient buildings’ benefits.</w:t>
      </w:r>
      <w:r w:rsidRPr="00F452E3">
        <w:rPr>
          <w:b/>
          <w:color w:val="00B050"/>
          <w:sz w:val="24"/>
          <w:lang w:val="en-CA"/>
        </w:rPr>
        <w:t xml:space="preserve"> </w:t>
      </w:r>
      <w:r w:rsidR="00886C4C" w:rsidRPr="00F452E3">
        <w:rPr>
          <w:b/>
          <w:color w:val="00B050"/>
          <w:sz w:val="24"/>
          <w:lang w:val="en-CA"/>
        </w:rPr>
        <w:t xml:space="preserve">EuroACE and </w:t>
      </w:r>
      <w:r w:rsidR="00F92FB8">
        <w:rPr>
          <w:b/>
          <w:color w:val="00B050"/>
          <w:sz w:val="24"/>
          <w:lang w:val="en-CA"/>
        </w:rPr>
        <w:t xml:space="preserve">the </w:t>
      </w:r>
      <w:r w:rsidR="00886C4C" w:rsidRPr="00F452E3">
        <w:rPr>
          <w:b/>
          <w:color w:val="00B050"/>
          <w:sz w:val="24"/>
          <w:lang w:val="en-CA"/>
        </w:rPr>
        <w:t>V</w:t>
      </w:r>
      <w:r w:rsidR="00AA772B">
        <w:rPr>
          <w:b/>
          <w:color w:val="00B050"/>
          <w:sz w:val="24"/>
          <w:lang w:val="en-CA"/>
        </w:rPr>
        <w:t>ELUX</w:t>
      </w:r>
      <w:r w:rsidR="00886C4C" w:rsidRPr="00F452E3">
        <w:rPr>
          <w:b/>
          <w:color w:val="00B050"/>
          <w:sz w:val="24"/>
          <w:lang w:val="en-CA"/>
        </w:rPr>
        <w:t xml:space="preserve"> </w:t>
      </w:r>
      <w:r w:rsidR="00F92FB8">
        <w:rPr>
          <w:b/>
          <w:color w:val="00B050"/>
          <w:sz w:val="24"/>
          <w:lang w:val="en-CA"/>
        </w:rPr>
        <w:t xml:space="preserve">Group </w:t>
      </w:r>
      <w:r w:rsidR="00886C4C" w:rsidRPr="00F452E3">
        <w:rPr>
          <w:b/>
          <w:color w:val="00B050"/>
          <w:sz w:val="24"/>
          <w:lang w:val="en-CA"/>
        </w:rPr>
        <w:t>Quiz the Commission and stakeholders</w:t>
      </w:r>
      <w:r w:rsidR="00E078F9" w:rsidRPr="00F452E3">
        <w:rPr>
          <w:b/>
          <w:color w:val="00B050"/>
          <w:sz w:val="24"/>
          <w:lang w:val="en-CA"/>
        </w:rPr>
        <w:t xml:space="preserve"> </w:t>
      </w:r>
    </w:p>
    <w:p w:rsidR="00E078F9" w:rsidRDefault="00E078F9" w:rsidP="00BC7605">
      <w:pPr>
        <w:jc w:val="both"/>
        <w:rPr>
          <w:b/>
          <w:sz w:val="24"/>
          <w:lang w:val="en-CA"/>
        </w:rPr>
      </w:pPr>
    </w:p>
    <w:p w:rsidR="00C029FB" w:rsidRPr="006329BF" w:rsidRDefault="006329BF" w:rsidP="00C029FB">
      <w:pPr>
        <w:jc w:val="both"/>
        <w:rPr>
          <w:i/>
          <w:sz w:val="20"/>
          <w:szCs w:val="20"/>
          <w:lang w:val="en-CA"/>
        </w:rPr>
      </w:pPr>
      <w:r w:rsidRPr="006329BF">
        <w:rPr>
          <w:i/>
          <w:sz w:val="20"/>
          <w:szCs w:val="20"/>
          <w:lang w:val="en-CA"/>
        </w:rPr>
        <w:t>As part of the EU Sustainable Energy Week High-Level Policy Conference, EuroACE organise</w:t>
      </w:r>
      <w:r w:rsidR="0063013A">
        <w:rPr>
          <w:i/>
          <w:sz w:val="20"/>
          <w:szCs w:val="20"/>
          <w:lang w:val="en-CA"/>
        </w:rPr>
        <w:t>s</w:t>
      </w:r>
      <w:r w:rsidRPr="006329BF">
        <w:rPr>
          <w:i/>
          <w:sz w:val="20"/>
          <w:szCs w:val="20"/>
          <w:lang w:val="en-CA"/>
        </w:rPr>
        <w:t xml:space="preserve"> on Wednesday 25</w:t>
      </w:r>
      <w:r w:rsidRPr="006329BF">
        <w:rPr>
          <w:i/>
          <w:sz w:val="20"/>
          <w:szCs w:val="20"/>
          <w:vertAlign w:val="superscript"/>
          <w:lang w:val="en-CA"/>
        </w:rPr>
        <w:t>th</w:t>
      </w:r>
      <w:r w:rsidRPr="006329BF">
        <w:rPr>
          <w:i/>
          <w:sz w:val="20"/>
          <w:szCs w:val="20"/>
          <w:lang w:val="en-CA"/>
        </w:rPr>
        <w:t xml:space="preserve"> June 2014 a joint event with its member company </w:t>
      </w:r>
      <w:r w:rsidR="00AA772B">
        <w:rPr>
          <w:i/>
          <w:sz w:val="20"/>
          <w:szCs w:val="20"/>
          <w:lang w:val="en-CA"/>
        </w:rPr>
        <w:t>the VELUX Group</w:t>
      </w:r>
      <w:r w:rsidRPr="006329BF">
        <w:rPr>
          <w:i/>
          <w:sz w:val="20"/>
          <w:szCs w:val="20"/>
          <w:lang w:val="en-CA"/>
        </w:rPr>
        <w:t xml:space="preserve">, entitled “Quizzing the Stakeholders: Making Energy Efficient Buildings More Visible and Attractive”. </w:t>
      </w:r>
      <w:r w:rsidR="0063013A">
        <w:rPr>
          <w:i/>
          <w:sz w:val="20"/>
          <w:szCs w:val="20"/>
          <w:lang w:val="en-CA"/>
        </w:rPr>
        <w:t>Emphasis i</w:t>
      </w:r>
      <w:r w:rsidR="00C029FB" w:rsidRPr="006329BF">
        <w:rPr>
          <w:i/>
          <w:sz w:val="20"/>
          <w:szCs w:val="20"/>
          <w:lang w:val="en-CA"/>
        </w:rPr>
        <w:t xml:space="preserve">s placed at this year’s Quiz event, now a firm fixture in EUSEW, on the potential of Energy Performance Certificates to raise awareness about the multiple benefits and importance of increased energy efficiency in buildings.  </w:t>
      </w:r>
    </w:p>
    <w:p w:rsidR="008B010A" w:rsidRPr="00C029FB" w:rsidRDefault="008B010A" w:rsidP="00BC7605">
      <w:pPr>
        <w:jc w:val="both"/>
        <w:rPr>
          <w:i/>
          <w:sz w:val="20"/>
          <w:lang w:val="en-CA"/>
        </w:rPr>
      </w:pPr>
    </w:p>
    <w:p w:rsidR="00C029FB" w:rsidRDefault="00C029FB" w:rsidP="00C029FB">
      <w:pPr>
        <w:jc w:val="both"/>
        <w:rPr>
          <w:lang w:val="en-CA"/>
        </w:rPr>
      </w:pPr>
      <w:r>
        <w:rPr>
          <w:lang w:val="en-CA"/>
        </w:rPr>
        <w:t xml:space="preserve">According to the Energy Performance of Buildings Directive (EPBD – to be reviewed before 2017), Energy Performance Certificates must be issued for all buildings that are rented, leased or sold, and must be displayed in public buildings of over 500m². </w:t>
      </w:r>
    </w:p>
    <w:p w:rsidR="00C029FB" w:rsidRPr="00C029FB" w:rsidRDefault="00C029FB" w:rsidP="00C029FB">
      <w:pPr>
        <w:jc w:val="both"/>
        <w:rPr>
          <w:sz w:val="16"/>
          <w:lang w:val="en-CA"/>
        </w:rPr>
      </w:pPr>
    </w:p>
    <w:p w:rsidR="00C029FB" w:rsidRPr="00C029FB" w:rsidRDefault="00C029FB" w:rsidP="00C029FB">
      <w:pPr>
        <w:jc w:val="both"/>
        <w:rPr>
          <w:i/>
          <w:lang w:val="en-CA"/>
        </w:rPr>
      </w:pPr>
      <w:r w:rsidRPr="00220FC3">
        <w:rPr>
          <w:i/>
          <w:lang w:val="en-CA"/>
        </w:rPr>
        <w:t xml:space="preserve"> “</w:t>
      </w:r>
      <w:r w:rsidRPr="00642123">
        <w:rPr>
          <w:b/>
          <w:i/>
          <w:lang w:val="en-CA"/>
        </w:rPr>
        <w:t>Buildings are a huge drain on energy consumption in the EU</w:t>
      </w:r>
      <w:r>
        <w:rPr>
          <w:b/>
          <w:i/>
          <w:lang w:val="en-CA"/>
        </w:rPr>
        <w:t>, making EU Energy Dependence Day</w:t>
      </w:r>
      <w:r>
        <w:rPr>
          <w:rStyle w:val="FootnoteReference"/>
          <w:b/>
          <w:i/>
          <w:lang w:val="en-CA"/>
        </w:rPr>
        <w:footnoteReference w:id="1"/>
      </w:r>
      <w:r>
        <w:rPr>
          <w:b/>
          <w:i/>
          <w:lang w:val="en-CA"/>
        </w:rPr>
        <w:t xml:space="preserve"> earlier and earlier every year</w:t>
      </w:r>
      <w:r w:rsidRPr="00220FC3">
        <w:rPr>
          <w:i/>
          <w:lang w:val="en-CA"/>
        </w:rPr>
        <w:t xml:space="preserve">” </w:t>
      </w:r>
      <w:r w:rsidR="0063013A">
        <w:rPr>
          <w:lang w:val="en-CA"/>
        </w:rPr>
        <w:t>explains</w:t>
      </w:r>
      <w:r w:rsidRPr="00220FC3">
        <w:rPr>
          <w:lang w:val="en-CA"/>
        </w:rPr>
        <w:t xml:space="preserve"> Adrian Joyce, Secretary General of EuroACE. </w:t>
      </w:r>
      <w:r w:rsidRPr="00220FC3">
        <w:rPr>
          <w:i/>
          <w:lang w:val="en-CA"/>
        </w:rPr>
        <w:t>“</w:t>
      </w:r>
      <w:r w:rsidRPr="00642123">
        <w:rPr>
          <w:i/>
          <w:lang w:val="en-CA"/>
        </w:rPr>
        <w:t>Citizens can see this energy consumption through the</w:t>
      </w:r>
      <w:r w:rsidRPr="00642123">
        <w:rPr>
          <w:b/>
          <w:i/>
          <w:lang w:val="en-CA"/>
        </w:rPr>
        <w:t xml:space="preserve"> Energy Performance Certificates in their homes, in their offices, in their children’s schools</w:t>
      </w:r>
      <w:r w:rsidRPr="00220FC3">
        <w:rPr>
          <w:i/>
          <w:lang w:val="en-CA"/>
        </w:rPr>
        <w:t>. We need to raise awareness about this wasteful energy consumption, a</w:t>
      </w:r>
      <w:r w:rsidR="006329BF">
        <w:rPr>
          <w:i/>
          <w:lang w:val="en-CA"/>
        </w:rPr>
        <w:t>s this is the first step for</w:t>
      </w:r>
      <w:r w:rsidRPr="00220FC3">
        <w:rPr>
          <w:i/>
          <w:lang w:val="en-CA"/>
        </w:rPr>
        <w:t xml:space="preserve"> </w:t>
      </w:r>
      <w:r w:rsidRPr="00642123">
        <w:rPr>
          <w:b/>
          <w:i/>
          <w:lang w:val="en-CA"/>
        </w:rPr>
        <w:t>tak</w:t>
      </w:r>
      <w:r w:rsidR="006329BF">
        <w:rPr>
          <w:b/>
          <w:i/>
          <w:lang w:val="en-CA"/>
        </w:rPr>
        <w:t>ing</w:t>
      </w:r>
      <w:r w:rsidRPr="00642123">
        <w:rPr>
          <w:b/>
          <w:i/>
          <w:lang w:val="en-CA"/>
        </w:rPr>
        <w:t xml:space="preserve"> action to renovate our buildings and release the multiple benefits locked up in our building stock</w:t>
      </w:r>
      <w:r w:rsidRPr="00220FC3">
        <w:rPr>
          <w:i/>
          <w:lang w:val="en-CA"/>
        </w:rPr>
        <w:t>!</w:t>
      </w:r>
      <w:r>
        <w:rPr>
          <w:i/>
          <w:lang w:val="en-CA"/>
        </w:rPr>
        <w:t>”</w:t>
      </w:r>
    </w:p>
    <w:p w:rsidR="006D26AC" w:rsidRPr="00B74B12" w:rsidRDefault="006D26AC" w:rsidP="006D26AC">
      <w:pPr>
        <w:jc w:val="both"/>
        <w:rPr>
          <w:sz w:val="16"/>
          <w:lang w:val="en-CA"/>
        </w:rPr>
      </w:pPr>
    </w:p>
    <w:p w:rsidR="00886C4C" w:rsidRDefault="00886C4C" w:rsidP="006D26AC">
      <w:pPr>
        <w:jc w:val="both"/>
        <w:rPr>
          <w:lang w:val="en-CA"/>
        </w:rPr>
      </w:pPr>
      <w:r>
        <w:rPr>
          <w:lang w:val="en-CA"/>
        </w:rPr>
        <w:t>The Energy Performan</w:t>
      </w:r>
      <w:r w:rsidR="0063013A">
        <w:rPr>
          <w:lang w:val="en-CA"/>
        </w:rPr>
        <w:t>ce Certificate of one building i</w:t>
      </w:r>
      <w:r>
        <w:rPr>
          <w:lang w:val="en-CA"/>
        </w:rPr>
        <w:t xml:space="preserve">s particularly in the spotlight during </w:t>
      </w:r>
      <w:r w:rsidR="00F452E3">
        <w:rPr>
          <w:lang w:val="en-CA"/>
        </w:rPr>
        <w:t>EuroACE/V</w:t>
      </w:r>
      <w:r w:rsidR="00AA772B">
        <w:rPr>
          <w:lang w:val="en-CA"/>
        </w:rPr>
        <w:t>ELUX Group</w:t>
      </w:r>
      <w:r w:rsidR="00F452E3">
        <w:rPr>
          <w:lang w:val="en-CA"/>
        </w:rPr>
        <w:t xml:space="preserve">’s </w:t>
      </w:r>
      <w:r>
        <w:rPr>
          <w:lang w:val="en-CA"/>
        </w:rPr>
        <w:t xml:space="preserve">Quiz event: the </w:t>
      </w:r>
      <w:r w:rsidRPr="00886C4C">
        <w:rPr>
          <w:b/>
          <w:lang w:val="en-CA"/>
        </w:rPr>
        <w:t>Commission’s Charlemagne building</w:t>
      </w:r>
      <w:r w:rsidR="00F452E3">
        <w:rPr>
          <w:lang w:val="en-CA"/>
        </w:rPr>
        <w:t xml:space="preserve">. </w:t>
      </w:r>
      <w:r>
        <w:rPr>
          <w:lang w:val="en-CA"/>
        </w:rPr>
        <w:t xml:space="preserve"> </w:t>
      </w:r>
      <w:r w:rsidR="00F452E3">
        <w:rPr>
          <w:lang w:val="en-CA"/>
        </w:rPr>
        <w:t>A</w:t>
      </w:r>
      <w:r>
        <w:rPr>
          <w:lang w:val="en-CA"/>
        </w:rPr>
        <w:t xml:space="preserve"> </w:t>
      </w:r>
      <w:r w:rsidRPr="00886C4C">
        <w:rPr>
          <w:b/>
          <w:lang w:val="en-CA"/>
        </w:rPr>
        <w:t>giant-size poster</w:t>
      </w:r>
      <w:r>
        <w:rPr>
          <w:lang w:val="en-CA"/>
        </w:rPr>
        <w:t xml:space="preserve"> </w:t>
      </w:r>
      <w:r w:rsidR="00F452E3">
        <w:rPr>
          <w:lang w:val="en-CA"/>
        </w:rPr>
        <w:t>this week on its façade presents</w:t>
      </w:r>
      <w:r>
        <w:rPr>
          <w:lang w:val="en-CA"/>
        </w:rPr>
        <w:t xml:space="preserve"> </w:t>
      </w:r>
      <w:r w:rsidRPr="00886C4C">
        <w:rPr>
          <w:b/>
          <w:lang w:val="en-CA"/>
        </w:rPr>
        <w:t>its energy rating</w:t>
      </w:r>
      <w:r>
        <w:rPr>
          <w:lang w:val="en-CA"/>
        </w:rPr>
        <w:t xml:space="preserve"> and the </w:t>
      </w:r>
      <w:r w:rsidRPr="00886C4C">
        <w:rPr>
          <w:b/>
          <w:lang w:val="en-CA"/>
        </w:rPr>
        <w:t xml:space="preserve">related actions to reduce the energy consumption of Commission buildings </w:t>
      </w:r>
      <w:r>
        <w:rPr>
          <w:lang w:val="en-CA"/>
        </w:rPr>
        <w:t>(see</w:t>
      </w:r>
      <w:r w:rsidR="00B74B12">
        <w:rPr>
          <w:lang w:val="en-CA"/>
        </w:rPr>
        <w:t xml:space="preserve"> www.renovate-europe.eu</w:t>
      </w:r>
      <w:hyperlink w:history="1"/>
      <w:r>
        <w:rPr>
          <w:lang w:val="en-CA"/>
        </w:rPr>
        <w:t xml:space="preserve">) </w:t>
      </w:r>
    </w:p>
    <w:p w:rsidR="00886C4C" w:rsidRPr="00B74B12" w:rsidRDefault="00886C4C" w:rsidP="006D26AC">
      <w:pPr>
        <w:jc w:val="both"/>
        <w:rPr>
          <w:sz w:val="16"/>
          <w:lang w:val="en-CA"/>
        </w:rPr>
      </w:pPr>
    </w:p>
    <w:p w:rsidR="006D26AC" w:rsidRPr="00220FC3" w:rsidRDefault="006D26AC" w:rsidP="006D26AC">
      <w:pPr>
        <w:jc w:val="both"/>
        <w:rPr>
          <w:lang w:val="en-CA"/>
        </w:rPr>
      </w:pPr>
      <w:r w:rsidRPr="00220FC3">
        <w:rPr>
          <w:lang w:val="en-CA"/>
        </w:rPr>
        <w:t xml:space="preserve">In addition to </w:t>
      </w:r>
      <w:r w:rsidRPr="00642123">
        <w:rPr>
          <w:b/>
          <w:lang w:val="en-CA"/>
        </w:rPr>
        <w:t>improving energy security, reducing energy bills and creating local jobs</w:t>
      </w:r>
      <w:r w:rsidRPr="00220FC3">
        <w:rPr>
          <w:lang w:val="en-CA"/>
        </w:rPr>
        <w:t xml:space="preserve">, increasing the energy efficiency of the building stock in the EU </w:t>
      </w:r>
      <w:r w:rsidR="00F452E3">
        <w:rPr>
          <w:lang w:val="en-CA"/>
        </w:rPr>
        <w:t>also has the potential to</w:t>
      </w:r>
      <w:r w:rsidRPr="00220FC3">
        <w:rPr>
          <w:lang w:val="en-CA"/>
        </w:rPr>
        <w:t xml:space="preserve"> </w:t>
      </w:r>
      <w:r w:rsidRPr="00642123">
        <w:rPr>
          <w:b/>
          <w:lang w:val="en-CA"/>
        </w:rPr>
        <w:t>release significant health benefits</w:t>
      </w:r>
      <w:r w:rsidR="00F452E3">
        <w:rPr>
          <w:lang w:val="en-CA"/>
        </w:rPr>
        <w:t xml:space="preserve"> for</w:t>
      </w:r>
      <w:r w:rsidRPr="00220FC3">
        <w:rPr>
          <w:lang w:val="en-CA"/>
        </w:rPr>
        <w:t xml:space="preserve"> </w:t>
      </w:r>
      <w:r w:rsidR="00886C4C">
        <w:rPr>
          <w:lang w:val="en-CA"/>
        </w:rPr>
        <w:t xml:space="preserve">EU </w:t>
      </w:r>
      <w:r w:rsidRPr="00220FC3">
        <w:rPr>
          <w:lang w:val="en-CA"/>
        </w:rPr>
        <w:t>citizens.</w:t>
      </w:r>
      <w:bookmarkStart w:id="0" w:name="_GoBack"/>
      <w:bookmarkEnd w:id="0"/>
    </w:p>
    <w:p w:rsidR="006D26AC" w:rsidRDefault="006D26AC" w:rsidP="006D26AC">
      <w:pPr>
        <w:jc w:val="both"/>
        <w:rPr>
          <w:sz w:val="16"/>
          <w:lang w:val="en-CA"/>
        </w:rPr>
      </w:pPr>
    </w:p>
    <w:p w:rsidR="006D26AC" w:rsidRPr="00642123" w:rsidRDefault="006D26AC" w:rsidP="006D26AC">
      <w:pPr>
        <w:jc w:val="both"/>
        <w:rPr>
          <w:b/>
          <w:i/>
          <w:lang w:val="en-GB"/>
        </w:rPr>
      </w:pPr>
      <w:r w:rsidRPr="00642123">
        <w:rPr>
          <w:i/>
          <w:lang w:val="en-GB"/>
        </w:rPr>
        <w:t>“</w:t>
      </w:r>
      <w:r w:rsidRPr="00642123">
        <w:rPr>
          <w:b/>
          <w:i/>
          <w:lang w:val="en-GB"/>
        </w:rPr>
        <w:t>E</w:t>
      </w:r>
      <w:r w:rsidR="003E227A">
        <w:rPr>
          <w:b/>
          <w:i/>
          <w:lang w:val="en-GB" w:bidi="da-DK"/>
        </w:rPr>
        <w:t xml:space="preserve">nergy efficiency and healthy buildings shall </w:t>
      </w:r>
      <w:r w:rsidRPr="00642123">
        <w:rPr>
          <w:b/>
          <w:i/>
          <w:lang w:val="en-GB" w:bidi="da-DK"/>
        </w:rPr>
        <w:t>go hand in hand</w:t>
      </w:r>
      <w:r w:rsidRPr="00642123">
        <w:rPr>
          <w:i/>
          <w:lang w:val="en-GB" w:bidi="da-DK"/>
        </w:rPr>
        <w:t>”</w:t>
      </w:r>
      <w:r w:rsidR="0063013A">
        <w:rPr>
          <w:lang w:val="en-GB" w:bidi="da-DK"/>
        </w:rPr>
        <w:t xml:space="preserve"> says</w:t>
      </w:r>
      <w:r w:rsidRPr="00642123">
        <w:rPr>
          <w:lang w:val="en-GB" w:bidi="da-DK"/>
        </w:rPr>
        <w:t xml:space="preserve"> I</w:t>
      </w:r>
      <w:r w:rsidRPr="00642123">
        <w:rPr>
          <w:rFonts w:cstheme="minorHAnsi"/>
          <w:lang w:val="en-GB"/>
        </w:rPr>
        <w:t>ngrid Reumert, Vice-President, Public Affairs &amp; Sustainability, the VELUX Group</w:t>
      </w:r>
      <w:r w:rsidR="00E078F9">
        <w:rPr>
          <w:rFonts w:cstheme="minorHAnsi"/>
          <w:lang w:val="en-GB"/>
        </w:rPr>
        <w:t xml:space="preserve">, speaking at the EUSEW </w:t>
      </w:r>
      <w:r w:rsidR="00886C4C">
        <w:rPr>
          <w:rFonts w:cstheme="minorHAnsi"/>
          <w:lang w:val="en-GB"/>
        </w:rPr>
        <w:t xml:space="preserve">Quiz </w:t>
      </w:r>
      <w:r w:rsidR="00E078F9">
        <w:rPr>
          <w:rFonts w:cstheme="minorHAnsi"/>
          <w:lang w:val="en-GB"/>
        </w:rPr>
        <w:t>event</w:t>
      </w:r>
      <w:r w:rsidRPr="00642123">
        <w:rPr>
          <w:rFonts w:cstheme="minorHAnsi"/>
          <w:lang w:val="en-GB"/>
        </w:rPr>
        <w:t>. “</w:t>
      </w:r>
      <w:r w:rsidRPr="00642123">
        <w:rPr>
          <w:rFonts w:cstheme="minorHAnsi"/>
          <w:i/>
          <w:lang w:val="en-GB"/>
        </w:rPr>
        <w:t>We spend 90% of our time indoor</w:t>
      </w:r>
      <w:r w:rsidR="0005372D">
        <w:rPr>
          <w:rFonts w:cstheme="minorHAnsi"/>
          <w:i/>
          <w:lang w:val="en-GB"/>
        </w:rPr>
        <w:t>s</w:t>
      </w:r>
      <w:r w:rsidRPr="00642123">
        <w:rPr>
          <w:rFonts w:cstheme="minorHAnsi"/>
          <w:i/>
          <w:lang w:val="en-GB"/>
        </w:rPr>
        <w:t xml:space="preserve"> and we know from research that </w:t>
      </w:r>
      <w:r w:rsidR="007B6330">
        <w:rPr>
          <w:rFonts w:cstheme="minorHAnsi"/>
          <w:i/>
          <w:lang w:val="en-GB"/>
        </w:rPr>
        <w:t xml:space="preserve">a good indoor climate, </w:t>
      </w:r>
      <w:r w:rsidR="002F0B8C">
        <w:rPr>
          <w:rFonts w:cstheme="minorHAnsi"/>
          <w:b/>
          <w:i/>
          <w:lang w:val="en-GB"/>
        </w:rPr>
        <w:t>daylight</w:t>
      </w:r>
      <w:r w:rsidRPr="00642123">
        <w:rPr>
          <w:rFonts w:cstheme="minorHAnsi"/>
          <w:b/>
          <w:i/>
          <w:lang w:val="en-GB"/>
        </w:rPr>
        <w:t xml:space="preserve"> and fresh air are essential to our general wellbeing, health, learning abilities and productivity</w:t>
      </w:r>
      <w:r w:rsidRPr="00642123">
        <w:rPr>
          <w:rFonts w:cstheme="minorHAnsi"/>
          <w:i/>
          <w:lang w:val="en-GB"/>
        </w:rPr>
        <w:t>.</w:t>
      </w:r>
      <w:r w:rsidRPr="00642123">
        <w:rPr>
          <w:rFonts w:cstheme="minorHAnsi"/>
          <w:b/>
          <w:i/>
          <w:lang w:val="en-GB"/>
        </w:rPr>
        <w:t>”</w:t>
      </w:r>
    </w:p>
    <w:p w:rsidR="00E078F9" w:rsidRPr="00B74B12" w:rsidRDefault="00E078F9" w:rsidP="00BC7605">
      <w:pPr>
        <w:jc w:val="both"/>
        <w:rPr>
          <w:sz w:val="16"/>
          <w:lang w:val="en-CA"/>
        </w:rPr>
      </w:pPr>
    </w:p>
    <w:p w:rsidR="0005372D" w:rsidRDefault="0005372D" w:rsidP="00BC7605">
      <w:pPr>
        <w:jc w:val="both"/>
        <w:rPr>
          <w:lang w:val="en-CA"/>
        </w:rPr>
      </w:pPr>
      <w:r>
        <w:rPr>
          <w:lang w:val="en-CA"/>
        </w:rPr>
        <w:t>Reumert went on</w:t>
      </w:r>
      <w:r w:rsidR="00C602B9">
        <w:rPr>
          <w:lang w:val="en-CA"/>
        </w:rPr>
        <w:t xml:space="preserve"> </w:t>
      </w:r>
      <w:r>
        <w:rPr>
          <w:lang w:val="en-CA"/>
        </w:rPr>
        <w:t>to report on recent findings that shows homeowners are motivated to undertake energy renovations by their wish to have greater comfort and healthier indoor climates.</w:t>
      </w:r>
      <w:r w:rsidR="00616EE0">
        <w:rPr>
          <w:lang w:val="en-CA"/>
        </w:rPr>
        <w:t xml:space="preserve"> </w:t>
      </w:r>
      <w:r w:rsidR="00616EE0" w:rsidRPr="00A57EEC">
        <w:rPr>
          <w:i/>
          <w:lang w:val="en-CA"/>
        </w:rPr>
        <w:t>“</w:t>
      </w:r>
      <w:r w:rsidR="00007EAC">
        <w:rPr>
          <w:i/>
          <w:lang w:val="en-CA"/>
        </w:rPr>
        <w:t>Putting h</w:t>
      </w:r>
      <w:r w:rsidR="00616EE0">
        <w:rPr>
          <w:i/>
          <w:lang w:val="en-CA"/>
        </w:rPr>
        <w:t xml:space="preserve">omeowners needs centre stage </w:t>
      </w:r>
      <w:r w:rsidR="00007EAC">
        <w:rPr>
          <w:i/>
          <w:lang w:val="en-CA"/>
        </w:rPr>
        <w:t xml:space="preserve">will </w:t>
      </w:r>
      <w:r w:rsidR="00616EE0">
        <w:rPr>
          <w:i/>
          <w:lang w:val="en-CA"/>
        </w:rPr>
        <w:t xml:space="preserve">trigger energy efficient and </w:t>
      </w:r>
      <w:r w:rsidR="007B6330">
        <w:rPr>
          <w:i/>
          <w:lang w:val="en-CA"/>
        </w:rPr>
        <w:t xml:space="preserve">high quality </w:t>
      </w:r>
      <w:r w:rsidR="00616EE0">
        <w:rPr>
          <w:i/>
          <w:lang w:val="en-CA"/>
        </w:rPr>
        <w:t>renovations.</w:t>
      </w:r>
      <w:r w:rsidR="00616EE0" w:rsidRPr="00A57EEC">
        <w:rPr>
          <w:i/>
          <w:lang w:val="en-CA"/>
        </w:rPr>
        <w:t xml:space="preserve"> There is a need to create incentives </w:t>
      </w:r>
      <w:r w:rsidR="00616EE0">
        <w:rPr>
          <w:i/>
          <w:lang w:val="en-CA"/>
        </w:rPr>
        <w:t xml:space="preserve">by making attractive legislative framework that integrate energy efficiency and a healthy indoor climate.” </w:t>
      </w:r>
    </w:p>
    <w:p w:rsidR="0005372D" w:rsidRPr="00B74B12" w:rsidRDefault="0005372D" w:rsidP="00BC7605">
      <w:pPr>
        <w:jc w:val="both"/>
        <w:rPr>
          <w:sz w:val="16"/>
          <w:lang w:val="en-CA"/>
        </w:rPr>
      </w:pPr>
    </w:p>
    <w:p w:rsidR="00C029FB" w:rsidRDefault="00E078F9" w:rsidP="00C14374">
      <w:pPr>
        <w:jc w:val="both"/>
        <w:rPr>
          <w:lang w:val="en-CA"/>
        </w:rPr>
      </w:pPr>
      <w:r>
        <w:rPr>
          <w:lang w:val="en-CA"/>
        </w:rPr>
        <w:t xml:space="preserve">As the Commission and Member States brainstorm around effective ways to drastically reduce the energy dependence of the EU, buildings feature increasingly centre stage, as the </w:t>
      </w:r>
      <w:r w:rsidRPr="00642123">
        <w:rPr>
          <w:b/>
          <w:lang w:val="en-CA"/>
        </w:rPr>
        <w:t>building sector represents the largest energy consuming sector in the EU at 43%</w:t>
      </w:r>
      <w:r>
        <w:rPr>
          <w:lang w:val="en-CA"/>
        </w:rPr>
        <w:t xml:space="preserve">, </w:t>
      </w:r>
      <w:r w:rsidR="006329BF" w:rsidRPr="004A70B7">
        <w:rPr>
          <w:lang w:val="en-US"/>
        </w:rPr>
        <w:t xml:space="preserve">with an energy savings potential of 61% and 38% in </w:t>
      </w:r>
      <w:r w:rsidR="006329BF">
        <w:rPr>
          <w:lang w:val="en-US"/>
        </w:rPr>
        <w:t xml:space="preserve">residential and tertiary buildings, </w:t>
      </w:r>
      <w:r w:rsidR="006329BF" w:rsidRPr="00FD664A">
        <w:rPr>
          <w:lang w:val="en-US"/>
        </w:rPr>
        <w:t>respectively, by 2030</w:t>
      </w:r>
      <w:r w:rsidR="00FD664A" w:rsidRPr="00FD664A">
        <w:rPr>
          <w:rStyle w:val="FootnoteReference"/>
          <w:lang w:val="en-US"/>
        </w:rPr>
        <w:footnoteReference w:id="2"/>
      </w:r>
      <w:r w:rsidR="00FD664A" w:rsidRPr="00FD664A">
        <w:rPr>
          <w:lang w:val="en-US"/>
        </w:rPr>
        <w:t>.</w:t>
      </w:r>
    </w:p>
    <w:p w:rsidR="00FD664A" w:rsidRDefault="00FD664A" w:rsidP="00C14374">
      <w:pPr>
        <w:jc w:val="both"/>
        <w:rPr>
          <w:b/>
          <w:lang w:val="en-CA"/>
        </w:rPr>
      </w:pPr>
    </w:p>
    <w:p w:rsidR="00C14374" w:rsidRDefault="00E43723" w:rsidP="00C14374">
      <w:pPr>
        <w:jc w:val="both"/>
        <w:rPr>
          <w:b/>
          <w:lang w:val="en-CA"/>
        </w:rPr>
      </w:pPr>
      <w:r>
        <w:rPr>
          <w:b/>
          <w:lang w:val="en-CA"/>
        </w:rPr>
        <w:t xml:space="preserve">Learn more about the event: </w:t>
      </w:r>
      <w:hyperlink r:id="rId12" w:history="1">
        <w:r w:rsidRPr="0089312F">
          <w:rPr>
            <w:rStyle w:val="Hyperlink"/>
            <w:b/>
            <w:lang w:val="en-CA"/>
          </w:rPr>
          <w:t>www.euroace.org</w:t>
        </w:r>
      </w:hyperlink>
      <w:r>
        <w:rPr>
          <w:b/>
          <w:lang w:val="en-CA"/>
        </w:rPr>
        <w:t xml:space="preserve">                                                                                     </w:t>
      </w:r>
      <w:r w:rsidR="00E078F9" w:rsidRPr="00E078F9">
        <w:rPr>
          <w:b/>
          <w:lang w:val="en-CA"/>
        </w:rPr>
        <w:t>END</w:t>
      </w:r>
      <w:r w:rsidR="00220FC3" w:rsidRPr="00E078F9">
        <w:rPr>
          <w:b/>
          <w:lang w:val="en-CA"/>
        </w:rPr>
        <w:br w:type="page"/>
      </w:r>
    </w:p>
    <w:p w:rsidR="00C14374" w:rsidRDefault="00C029FB" w:rsidP="00C14374">
      <w:pPr>
        <w:jc w:val="both"/>
        <w:rPr>
          <w:b/>
          <w:lang w:val="en-CA"/>
        </w:rPr>
      </w:pPr>
      <w:r>
        <w:rPr>
          <w:noProof/>
          <w:lang w:val="en-US"/>
        </w:rPr>
        <w:drawing>
          <wp:anchor distT="0" distB="0" distL="114300" distR="114300" simplePos="0" relativeHeight="251666432" behindDoc="0" locked="0" layoutInCell="1" allowOverlap="1">
            <wp:simplePos x="0" y="0"/>
            <wp:positionH relativeFrom="column">
              <wp:posOffset>5080</wp:posOffset>
            </wp:positionH>
            <wp:positionV relativeFrom="paragraph">
              <wp:posOffset>-309245</wp:posOffset>
            </wp:positionV>
            <wp:extent cx="2047875" cy="443230"/>
            <wp:effectExtent l="0" t="0" r="9525" b="0"/>
            <wp:wrapSquare wrapText="bothSides"/>
            <wp:docPr id="6" name="Picture 6" descr="C:\Users\Caroline\AppData\Local\Microsoft\Windows\Temporary Internet Files\Content.Word\New Picture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Temporary Internet Files\Content.Word\New Picture (10).pn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443230"/>
                    </a:xfrm>
                    <a:prstGeom prst="rect">
                      <a:avLst/>
                    </a:prstGeom>
                    <a:noFill/>
                    <a:ln>
                      <a:noFill/>
                    </a:ln>
                  </pic:spPr>
                </pic:pic>
              </a:graphicData>
            </a:graphic>
          </wp:anchor>
        </w:drawing>
      </w:r>
      <w:r w:rsidR="00090695">
        <w:rPr>
          <w:rFonts w:ascii="Helvetica" w:hAnsi="Helvetica" w:cs="Helvetica"/>
          <w:noProof/>
          <w:color w:val="234C8F"/>
          <w:sz w:val="18"/>
          <w:szCs w:val="18"/>
          <w:lang w:val="en-US"/>
        </w:rPr>
        <w:drawing>
          <wp:anchor distT="0" distB="0" distL="114300" distR="114300" simplePos="0" relativeHeight="251661312" behindDoc="0" locked="0" layoutInCell="1" allowOverlap="1">
            <wp:simplePos x="0" y="0"/>
            <wp:positionH relativeFrom="column">
              <wp:posOffset>2515870</wp:posOffset>
            </wp:positionH>
            <wp:positionV relativeFrom="paragraph">
              <wp:posOffset>-514985</wp:posOffset>
            </wp:positionV>
            <wp:extent cx="1626870" cy="723900"/>
            <wp:effectExtent l="0" t="0" r="0" b="0"/>
            <wp:wrapSquare wrapText="bothSides"/>
            <wp:docPr id="2" name="Picture 2" descr="http://www.euroace.org/Portals/0/Skins/EuroACE/images/header-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ace.org/Portals/0/Skins/EuroACE/images/header-logo.png">
                      <a:hlinkClick r:id="rId9"/>
                    </pic:cNvPr>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6870" cy="723900"/>
                    </a:xfrm>
                    <a:prstGeom prst="rect">
                      <a:avLst/>
                    </a:prstGeom>
                    <a:noFill/>
                    <a:ln>
                      <a:noFill/>
                    </a:ln>
                  </pic:spPr>
                </pic:pic>
              </a:graphicData>
            </a:graphic>
          </wp:anchor>
        </w:drawing>
      </w:r>
      <w:r w:rsidR="00C14374">
        <w:rPr>
          <w:noProof/>
          <w:sz w:val="20"/>
          <w:lang w:val="en-US"/>
        </w:rPr>
        <w:drawing>
          <wp:anchor distT="0" distB="0" distL="114300" distR="114300" simplePos="0" relativeHeight="251663360" behindDoc="1" locked="0" layoutInCell="1" allowOverlap="1">
            <wp:simplePos x="0" y="0"/>
            <wp:positionH relativeFrom="column">
              <wp:posOffset>4354195</wp:posOffset>
            </wp:positionH>
            <wp:positionV relativeFrom="paragraph">
              <wp:posOffset>-434340</wp:posOffset>
            </wp:positionV>
            <wp:extent cx="1449070" cy="474345"/>
            <wp:effectExtent l="0" t="0" r="0" b="1905"/>
            <wp:wrapTight wrapText="bothSides">
              <wp:wrapPolygon edited="0">
                <wp:start x="0" y="0"/>
                <wp:lineTo x="0" y="20819"/>
                <wp:lineTo x="21297" y="20819"/>
                <wp:lineTo x="21297" y="0"/>
                <wp:lineTo x="0" y="0"/>
              </wp:wrapPolygon>
            </wp:wrapTight>
            <wp:docPr id="4" name="Picture 3" descr="VELUX_logo_568x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LUX_logo_568x424.jpg"/>
                    <pic:cNvPicPr>
                      <a:picLocks noChangeAspect="1" noChangeArrowheads="1"/>
                    </pic:cNvPicPr>
                  </pic:nvPicPr>
                  <pic:blipFill rotWithShape="1">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b="55963"/>
                    <a:stretch/>
                  </pic:blipFill>
                  <pic:spPr bwMode="auto">
                    <a:xfrm>
                      <a:off x="0" y="0"/>
                      <a:ext cx="1449070" cy="47434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p>
    <w:p w:rsidR="00C14374" w:rsidRDefault="00C14374" w:rsidP="00C14374">
      <w:pPr>
        <w:jc w:val="both"/>
        <w:rPr>
          <w:b/>
          <w:lang w:val="en-CA"/>
        </w:rPr>
      </w:pPr>
    </w:p>
    <w:p w:rsidR="008C1287" w:rsidRDefault="008C1287" w:rsidP="00C14374">
      <w:pPr>
        <w:jc w:val="both"/>
        <w:rPr>
          <w:b/>
          <w:lang w:val="en-GB"/>
        </w:rPr>
      </w:pPr>
    </w:p>
    <w:p w:rsidR="00C14374" w:rsidRDefault="00C14374" w:rsidP="00C14374">
      <w:pPr>
        <w:jc w:val="both"/>
        <w:rPr>
          <w:b/>
          <w:lang w:val="en-GB"/>
        </w:rPr>
      </w:pPr>
      <w:r w:rsidRPr="00C14374">
        <w:rPr>
          <w:b/>
          <w:lang w:val="en-GB"/>
        </w:rPr>
        <w:t>About EuroACE</w:t>
      </w:r>
    </w:p>
    <w:p w:rsidR="00C14374" w:rsidRPr="00C14374" w:rsidRDefault="00C14374" w:rsidP="00C14374">
      <w:pPr>
        <w:jc w:val="both"/>
        <w:rPr>
          <w:lang w:val="en-GB"/>
        </w:rPr>
      </w:pPr>
      <w:r w:rsidRPr="00C14374">
        <w:rPr>
          <w:lang w:val="en-GB"/>
        </w:rPr>
        <w:t xml:space="preserve">The mission of EuroAce is to work together with the European institutions to help Europe move towards a more efficient use of energy in buildings, thereby </w:t>
      </w:r>
      <w:r w:rsidR="007B6330" w:rsidRPr="00C14374">
        <w:rPr>
          <w:lang w:val="en-GB"/>
        </w:rPr>
        <w:t>contributing</w:t>
      </w:r>
      <w:r w:rsidRPr="00C14374">
        <w:rPr>
          <w:lang w:val="en-GB"/>
        </w:rPr>
        <w:t xml:space="preserve"> to the EU’s commitments on carbon emission reductions, job creation and energy security. For further please see </w:t>
      </w:r>
      <w:hyperlink r:id="rId13" w:history="1">
        <w:r w:rsidRPr="00C14374">
          <w:rPr>
            <w:rStyle w:val="Hyperlink"/>
            <w:lang w:val="en-GB"/>
          </w:rPr>
          <w:t>http://www.euroace.org/</w:t>
        </w:r>
      </w:hyperlink>
      <w:r w:rsidRPr="00C14374">
        <w:rPr>
          <w:lang w:val="en-GB"/>
        </w:rPr>
        <w:t xml:space="preserve"> </w:t>
      </w:r>
    </w:p>
    <w:p w:rsidR="00C14374" w:rsidRPr="00C14374" w:rsidRDefault="00C14374" w:rsidP="00C14374">
      <w:pPr>
        <w:jc w:val="both"/>
        <w:rPr>
          <w:lang w:val="en-GB"/>
        </w:rPr>
      </w:pPr>
    </w:p>
    <w:p w:rsidR="008C1287" w:rsidRPr="00C14374" w:rsidRDefault="008C1287" w:rsidP="008C1287">
      <w:pPr>
        <w:rPr>
          <w:b/>
          <w:lang w:val="en-GB"/>
        </w:rPr>
      </w:pPr>
      <w:r w:rsidRPr="00C14374">
        <w:rPr>
          <w:b/>
          <w:lang w:val="en-GB"/>
        </w:rPr>
        <w:t>Contact</w:t>
      </w:r>
    </w:p>
    <w:p w:rsidR="008C1287" w:rsidRPr="00C14374" w:rsidRDefault="008C1287" w:rsidP="008C1287">
      <w:pPr>
        <w:rPr>
          <w:lang w:val="en-GB"/>
        </w:rPr>
      </w:pPr>
      <w:r w:rsidRPr="00C14374">
        <w:rPr>
          <w:lang w:val="en-GB"/>
        </w:rPr>
        <w:t>Adrian Joyce</w:t>
      </w:r>
    </w:p>
    <w:p w:rsidR="008C1287" w:rsidRPr="00C14374" w:rsidRDefault="008C1287" w:rsidP="008C1287">
      <w:pPr>
        <w:rPr>
          <w:lang w:val="en-GB"/>
        </w:rPr>
      </w:pPr>
      <w:r w:rsidRPr="00C14374">
        <w:rPr>
          <w:lang w:val="en-GB"/>
        </w:rPr>
        <w:t>General Secretary</w:t>
      </w:r>
    </w:p>
    <w:p w:rsidR="008C1287" w:rsidRPr="00C14374" w:rsidRDefault="008C1287" w:rsidP="008C1287">
      <w:pPr>
        <w:rPr>
          <w:lang w:val="en-GB"/>
        </w:rPr>
      </w:pPr>
      <w:r w:rsidRPr="00C14374">
        <w:rPr>
          <w:lang w:val="en-GB"/>
        </w:rPr>
        <w:t>EuroACE</w:t>
      </w:r>
    </w:p>
    <w:p w:rsidR="008C1287" w:rsidRPr="00C14374" w:rsidRDefault="008C1287" w:rsidP="008C1287">
      <w:pPr>
        <w:rPr>
          <w:lang w:val="en-GB"/>
        </w:rPr>
      </w:pPr>
      <w:r w:rsidRPr="00C14374">
        <w:rPr>
          <w:lang w:val="en-GB"/>
        </w:rPr>
        <w:t xml:space="preserve">+ 32 </w:t>
      </w:r>
      <w:r>
        <w:rPr>
          <w:lang w:val="en-GB"/>
        </w:rPr>
        <w:t>2639 101 10</w:t>
      </w:r>
    </w:p>
    <w:p w:rsidR="008C1287" w:rsidRDefault="00CE5FC8" w:rsidP="008C1287">
      <w:pPr>
        <w:rPr>
          <w:lang w:val="en-GB"/>
        </w:rPr>
      </w:pPr>
      <w:hyperlink r:id="rId14" w:history="1">
        <w:r w:rsidR="008C1287" w:rsidRPr="00C14374">
          <w:rPr>
            <w:rStyle w:val="Hyperlink"/>
            <w:lang w:val="en-GB"/>
          </w:rPr>
          <w:t>Adrian.joyce@euroace.org</w:t>
        </w:r>
      </w:hyperlink>
      <w:r w:rsidR="008C1287" w:rsidRPr="00C14374">
        <w:rPr>
          <w:lang w:val="en-GB"/>
        </w:rPr>
        <w:t xml:space="preserve"> </w:t>
      </w:r>
    </w:p>
    <w:p w:rsidR="008C1287" w:rsidRDefault="008C1287" w:rsidP="008C1287">
      <w:pPr>
        <w:rPr>
          <w:lang w:val="en-GB"/>
        </w:rPr>
      </w:pPr>
    </w:p>
    <w:p w:rsidR="008C1287" w:rsidRPr="00C14374" w:rsidRDefault="008C1287" w:rsidP="008C1287">
      <w:pPr>
        <w:rPr>
          <w:lang w:val="en-GB"/>
        </w:rPr>
      </w:pPr>
    </w:p>
    <w:p w:rsidR="008C1287" w:rsidRPr="00C14374" w:rsidRDefault="008C1287" w:rsidP="008C1287">
      <w:pPr>
        <w:autoSpaceDE w:val="0"/>
        <w:autoSpaceDN w:val="0"/>
        <w:adjustRightInd w:val="0"/>
        <w:spacing w:line="240" w:lineRule="atLeast"/>
        <w:jc w:val="both"/>
        <w:rPr>
          <w:b/>
          <w:bCs/>
          <w:color w:val="000000"/>
          <w:lang w:val="en-GB"/>
        </w:rPr>
      </w:pPr>
      <w:r w:rsidRPr="00C14374">
        <w:rPr>
          <w:b/>
          <w:bCs/>
          <w:noProof/>
          <w:color w:val="000000"/>
          <w:lang w:val="en-GB"/>
        </w:rPr>
        <w:t>About the VELUX Group</w:t>
      </w:r>
    </w:p>
    <w:p w:rsidR="008C1287" w:rsidRPr="00C14374" w:rsidRDefault="008C1287" w:rsidP="008C1287">
      <w:pPr>
        <w:autoSpaceDE w:val="0"/>
        <w:autoSpaceDN w:val="0"/>
        <w:adjustRightInd w:val="0"/>
        <w:spacing w:line="240" w:lineRule="atLeast"/>
        <w:jc w:val="both"/>
        <w:rPr>
          <w:i/>
          <w:iCs/>
          <w:color w:val="000000"/>
          <w:lang w:val="en-GB"/>
        </w:rPr>
      </w:pPr>
      <w:r w:rsidRPr="00C14374">
        <w:rPr>
          <w:rFonts w:cs="Verdana"/>
          <w:color w:val="000000"/>
          <w:lang w:val="en-GB"/>
        </w:rPr>
        <w:t>The VELUX Group creates better living environments with daylight and fresh air through the roof. The VELUX product programme contains a wide range of roof windows and skylights, along with solutions for flat roofs. The Group also supplies many types of decoration and sun screening, roller shutters, installation products and products for remote control. The VELUX Group, which has manufacturing companies in 11 countries and sales companies in just under 40 countries, represents one of the strongest brands in the global building materials sector and its products are sold in most parts of the world. The VELUX Group has about 10,000 employees</w:t>
      </w:r>
      <w:r w:rsidRPr="00C14374">
        <w:rPr>
          <w:rFonts w:cs="Verdana"/>
          <w:b/>
          <w:bCs/>
          <w:color w:val="000000"/>
          <w:lang w:val="en-GB"/>
        </w:rPr>
        <w:t xml:space="preserve"> </w:t>
      </w:r>
      <w:r w:rsidRPr="00C14374">
        <w:rPr>
          <w:rFonts w:cs="Verdana"/>
          <w:color w:val="000000"/>
          <w:lang w:val="en-GB"/>
        </w:rPr>
        <w:t xml:space="preserve">and is owned by VKR Holding A/S, a limited company wholly owned by foundations and family. For more details, visit </w:t>
      </w:r>
      <w:r w:rsidRPr="00C14374">
        <w:rPr>
          <w:rFonts w:cs="Verdana"/>
          <w:color w:val="0000FF"/>
          <w:u w:val="single"/>
          <w:lang w:val="en-GB"/>
        </w:rPr>
        <w:t>www.velux.com</w:t>
      </w:r>
      <w:r w:rsidRPr="00C14374">
        <w:rPr>
          <w:rFonts w:cs="Verdana"/>
          <w:color w:val="000000"/>
          <w:lang w:val="en-GB"/>
        </w:rPr>
        <w:t>.</w:t>
      </w:r>
    </w:p>
    <w:p w:rsidR="008C1287" w:rsidRPr="00C14374" w:rsidRDefault="008C1287" w:rsidP="008C1287">
      <w:pPr>
        <w:rPr>
          <w:b/>
          <w:lang w:val="en-GB"/>
        </w:rPr>
      </w:pPr>
    </w:p>
    <w:p w:rsidR="00C14374" w:rsidRDefault="00C14374" w:rsidP="00C14374">
      <w:pPr>
        <w:shd w:val="clear" w:color="auto" w:fill="FFFFFF"/>
        <w:spacing w:line="240" w:lineRule="atLeast"/>
        <w:jc w:val="both"/>
        <w:rPr>
          <w:b/>
          <w:bCs/>
          <w:color w:val="303030"/>
          <w:lang w:val="en-GB"/>
        </w:rPr>
      </w:pPr>
      <w:r w:rsidRPr="00C14374">
        <w:rPr>
          <w:b/>
          <w:bCs/>
          <w:color w:val="303030"/>
          <w:lang w:val="en-GB"/>
        </w:rPr>
        <w:t>Press material at VELUX Media Centre</w:t>
      </w:r>
    </w:p>
    <w:p w:rsidR="00C14374" w:rsidRPr="00C14374" w:rsidRDefault="00C14374" w:rsidP="00C14374">
      <w:pPr>
        <w:shd w:val="clear" w:color="auto" w:fill="FFFFFF"/>
        <w:spacing w:line="240" w:lineRule="atLeast"/>
        <w:jc w:val="both"/>
        <w:rPr>
          <w:color w:val="303030"/>
          <w:lang w:val="en-GB"/>
        </w:rPr>
      </w:pPr>
      <w:r w:rsidRPr="00090695">
        <w:rPr>
          <w:color w:val="000000" w:themeColor="text1"/>
          <w:lang w:val="en-GB"/>
        </w:rPr>
        <w:t xml:space="preserve">See and download our news videos, photos and press materiel on VELUX Media Centre at </w:t>
      </w:r>
      <w:hyperlink r:id="rId15" w:history="1">
        <w:r w:rsidRPr="00090695">
          <w:rPr>
            <w:color w:val="000000" w:themeColor="text1"/>
            <w:lang w:val="en-GB"/>
          </w:rPr>
          <w:t>press.velux.com</w:t>
        </w:r>
      </w:hyperlink>
      <w:r w:rsidRPr="00090695">
        <w:rPr>
          <w:color w:val="000000" w:themeColor="text1"/>
          <w:lang w:val="en-GB"/>
        </w:rPr>
        <w:t xml:space="preserve">. Follow </w:t>
      </w:r>
      <w:r w:rsidRPr="00C14374">
        <w:rPr>
          <w:color w:val="303030"/>
          <w:lang w:val="en-GB"/>
        </w:rPr>
        <w:t xml:space="preserve">us on </w:t>
      </w:r>
      <w:hyperlink r:id="rId16" w:history="1">
        <w:r w:rsidRPr="00C14374">
          <w:rPr>
            <w:rStyle w:val="Hyperlink"/>
            <w:lang w:val="en-GB"/>
          </w:rPr>
          <w:t>twitter.com/velux</w:t>
        </w:r>
      </w:hyperlink>
      <w:r w:rsidRPr="00C14374">
        <w:rPr>
          <w:color w:val="303030"/>
          <w:lang w:val="en-GB"/>
        </w:rPr>
        <w:t xml:space="preserve"> and </w:t>
      </w:r>
      <w:hyperlink r:id="rId17" w:history="1">
        <w:r w:rsidRPr="00C14374">
          <w:rPr>
            <w:rStyle w:val="Hyperlink"/>
            <w:lang w:val="en-GB"/>
          </w:rPr>
          <w:t>facebook.com/velux</w:t>
        </w:r>
      </w:hyperlink>
    </w:p>
    <w:p w:rsidR="00C14374" w:rsidRPr="00C14374" w:rsidRDefault="00C14374" w:rsidP="00C14374">
      <w:pPr>
        <w:autoSpaceDE w:val="0"/>
        <w:autoSpaceDN w:val="0"/>
        <w:adjustRightInd w:val="0"/>
        <w:spacing w:line="240" w:lineRule="atLeast"/>
        <w:jc w:val="both"/>
        <w:rPr>
          <w:b/>
          <w:bCs/>
          <w:noProof/>
          <w:color w:val="000000"/>
          <w:lang w:val="en-GB"/>
        </w:rPr>
      </w:pPr>
    </w:p>
    <w:p w:rsidR="00C14374" w:rsidRPr="00C14374" w:rsidRDefault="00C14374" w:rsidP="00C14374">
      <w:pPr>
        <w:jc w:val="both"/>
        <w:rPr>
          <w:b/>
          <w:lang w:val="en-GB"/>
        </w:rPr>
      </w:pPr>
      <w:r w:rsidRPr="00C14374">
        <w:rPr>
          <w:b/>
          <w:lang w:val="en-GB"/>
        </w:rPr>
        <w:t>VELUX ModelHome 2020</w:t>
      </w:r>
    </w:p>
    <w:p w:rsidR="00C14374" w:rsidRPr="00C14374" w:rsidRDefault="00C14374" w:rsidP="00C14374">
      <w:pPr>
        <w:jc w:val="both"/>
        <w:rPr>
          <w:bCs/>
          <w:noProof/>
          <w:color w:val="000000"/>
          <w:lang w:val="en-GB"/>
        </w:rPr>
      </w:pPr>
      <w:r w:rsidRPr="00C14374">
        <w:rPr>
          <w:lang w:val="en-GB"/>
        </w:rPr>
        <w:t xml:space="preserve">In 2009, the VELUX Group launched the project ModelHome 2020, a vision for climate-neutral buildings with a high level of livability. It is part of the VELUX strategy to take an active part in developing sustainable buildings – buildings for the future. For further information, see  </w:t>
      </w:r>
      <w:hyperlink r:id="rId18" w:history="1">
        <w:r w:rsidRPr="00C14374">
          <w:rPr>
            <w:rStyle w:val="Hyperlink"/>
            <w:bCs/>
            <w:noProof/>
            <w:lang w:val="en-GB"/>
          </w:rPr>
          <w:t>http://www.velux.com/sustainable_living/demonstration_buildings</w:t>
        </w:r>
      </w:hyperlink>
      <w:r w:rsidRPr="00C14374">
        <w:rPr>
          <w:bCs/>
          <w:noProof/>
          <w:color w:val="000000"/>
          <w:lang w:val="en-GB"/>
        </w:rPr>
        <w:t xml:space="preserve"> </w:t>
      </w:r>
    </w:p>
    <w:p w:rsidR="00C14374" w:rsidRPr="00C14374" w:rsidRDefault="00C14374" w:rsidP="00C14374">
      <w:pPr>
        <w:autoSpaceDE w:val="0"/>
        <w:autoSpaceDN w:val="0"/>
        <w:adjustRightInd w:val="0"/>
        <w:spacing w:line="240" w:lineRule="atLeast"/>
        <w:jc w:val="both"/>
        <w:rPr>
          <w:b/>
          <w:bCs/>
          <w:noProof/>
          <w:color w:val="000000"/>
          <w:lang w:val="en-GB"/>
        </w:rPr>
      </w:pPr>
    </w:p>
    <w:p w:rsidR="00C14374" w:rsidRPr="00C14374" w:rsidRDefault="00C14374" w:rsidP="00C14374">
      <w:pPr>
        <w:rPr>
          <w:b/>
          <w:lang w:val="en-GB"/>
        </w:rPr>
      </w:pPr>
      <w:r w:rsidRPr="00C14374">
        <w:rPr>
          <w:b/>
          <w:lang w:val="en-GB"/>
        </w:rPr>
        <w:t>Contact</w:t>
      </w:r>
    </w:p>
    <w:p w:rsidR="00C14374" w:rsidRPr="00C14374" w:rsidRDefault="00C14374" w:rsidP="00C14374">
      <w:pPr>
        <w:rPr>
          <w:lang w:val="en-GB"/>
        </w:rPr>
      </w:pPr>
      <w:r w:rsidRPr="00C14374">
        <w:rPr>
          <w:lang w:val="en-GB"/>
        </w:rPr>
        <w:t>Pernille Franch Pedersen</w:t>
      </w:r>
    </w:p>
    <w:p w:rsidR="00C14374" w:rsidRPr="00C14374" w:rsidRDefault="00C14374" w:rsidP="00C14374">
      <w:pPr>
        <w:rPr>
          <w:lang w:val="en-GB"/>
        </w:rPr>
      </w:pPr>
      <w:r w:rsidRPr="00C14374">
        <w:rPr>
          <w:lang w:val="en-GB"/>
        </w:rPr>
        <w:t>Media Relations Manager</w:t>
      </w:r>
    </w:p>
    <w:p w:rsidR="00C14374" w:rsidRPr="00C14374" w:rsidRDefault="00C14374" w:rsidP="00C14374">
      <w:pPr>
        <w:rPr>
          <w:lang w:val="en-GB"/>
        </w:rPr>
      </w:pPr>
      <w:r w:rsidRPr="00C14374">
        <w:rPr>
          <w:lang w:val="en-GB"/>
        </w:rPr>
        <w:t>The VELUX Group</w:t>
      </w:r>
    </w:p>
    <w:p w:rsidR="00C14374" w:rsidRPr="00C14374" w:rsidRDefault="00C14374" w:rsidP="00C14374">
      <w:pPr>
        <w:rPr>
          <w:lang w:val="en-GB"/>
        </w:rPr>
      </w:pPr>
      <w:r w:rsidRPr="00C14374">
        <w:rPr>
          <w:lang w:val="en-GB"/>
        </w:rPr>
        <w:t>+45 81 56 47</w:t>
      </w:r>
    </w:p>
    <w:p w:rsidR="00C14374" w:rsidRPr="00C14374" w:rsidRDefault="00CE5FC8" w:rsidP="00C14374">
      <w:pPr>
        <w:rPr>
          <w:b/>
          <w:lang w:val="en-GB"/>
        </w:rPr>
      </w:pPr>
      <w:hyperlink r:id="rId19" w:history="1">
        <w:r w:rsidR="00C14374" w:rsidRPr="00333F9C">
          <w:rPr>
            <w:rStyle w:val="Hyperlink"/>
            <w:lang w:val="en-GB"/>
          </w:rPr>
          <w:t>pernille.franch@velux.com</w:t>
        </w:r>
      </w:hyperlink>
      <w:r w:rsidR="00C14374">
        <w:rPr>
          <w:lang w:val="en-GB"/>
        </w:rPr>
        <w:t xml:space="preserve"> </w:t>
      </w:r>
    </w:p>
    <w:p w:rsidR="00C14374" w:rsidRPr="00C14374" w:rsidRDefault="00C14374" w:rsidP="00C14374">
      <w:pPr>
        <w:rPr>
          <w:b/>
          <w:lang w:val="en-GB"/>
        </w:rPr>
      </w:pPr>
    </w:p>
    <w:p w:rsidR="00C14374" w:rsidRPr="00C14374" w:rsidRDefault="00C14374" w:rsidP="00C14374">
      <w:pPr>
        <w:autoSpaceDE w:val="0"/>
        <w:autoSpaceDN w:val="0"/>
        <w:adjustRightInd w:val="0"/>
        <w:ind w:left="15"/>
        <w:rPr>
          <w:rFonts w:eastAsia="Calibri"/>
          <w:lang w:val="en-GB"/>
        </w:rPr>
      </w:pPr>
    </w:p>
    <w:p w:rsidR="00C14374" w:rsidRPr="00C14374" w:rsidRDefault="00C14374" w:rsidP="00C14374">
      <w:pPr>
        <w:rPr>
          <w:b/>
          <w:lang w:val="en-GB"/>
        </w:rPr>
      </w:pPr>
    </w:p>
    <w:p w:rsidR="00883984" w:rsidRPr="00C14374" w:rsidRDefault="00883984">
      <w:pPr>
        <w:rPr>
          <w:b/>
          <w:lang w:val="en-CA"/>
        </w:rPr>
      </w:pPr>
    </w:p>
    <w:sectPr w:rsidR="00883984" w:rsidRPr="00C14374" w:rsidSect="00CE5FC8">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929" w:rsidRDefault="00412929" w:rsidP="00C602B9">
      <w:r>
        <w:separator/>
      </w:r>
    </w:p>
  </w:endnote>
  <w:endnote w:type="continuationSeparator" w:id="0">
    <w:p w:rsidR="00412929" w:rsidRDefault="00412929" w:rsidP="00C602B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E6" w:rsidRDefault="00D238E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E6" w:rsidRDefault="00D238E6">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E6" w:rsidRDefault="00D238E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929" w:rsidRDefault="00412929" w:rsidP="00C602B9">
      <w:r>
        <w:separator/>
      </w:r>
    </w:p>
  </w:footnote>
  <w:footnote w:type="continuationSeparator" w:id="0">
    <w:p w:rsidR="00412929" w:rsidRDefault="00412929" w:rsidP="00C602B9">
      <w:r>
        <w:continuationSeparator/>
      </w:r>
    </w:p>
  </w:footnote>
  <w:footnote w:id="1">
    <w:p w:rsidR="00C029FB" w:rsidRPr="00B74B12" w:rsidRDefault="00C029FB" w:rsidP="00C029FB">
      <w:pPr>
        <w:pStyle w:val="FootnoteText"/>
        <w:rPr>
          <w:lang w:val="en-CA"/>
        </w:rPr>
      </w:pPr>
      <w:r w:rsidRPr="00B74B12">
        <w:rPr>
          <w:rStyle w:val="FootnoteReference"/>
          <w:sz w:val="16"/>
        </w:rPr>
        <w:footnoteRef/>
      </w:r>
      <w:r w:rsidRPr="00B74B12">
        <w:rPr>
          <w:sz w:val="16"/>
          <w:lang w:val="en-CA"/>
        </w:rPr>
        <w:t xml:space="preserve"> Speech by Adrian Joyce at the Athens Informal Ministerial in May 2014 :</w:t>
      </w:r>
      <w:r>
        <w:rPr>
          <w:sz w:val="16"/>
          <w:lang w:val="en-CA"/>
        </w:rPr>
        <w:t xml:space="preserve"> </w:t>
      </w:r>
      <w:hyperlink r:id="rId1" w:history="1">
        <w:r w:rsidRPr="006C2CF9">
          <w:rPr>
            <w:rStyle w:val="Hyperlink"/>
            <w:sz w:val="16"/>
            <w:lang w:val="en-CA"/>
          </w:rPr>
          <w:t>http://www.euroace.org/LinkClick.aspx?fileticket=_6t2o7aIVbo%3d&amp;tabid=40</w:t>
        </w:r>
      </w:hyperlink>
      <w:r>
        <w:rPr>
          <w:sz w:val="16"/>
          <w:lang w:val="en-CA"/>
        </w:rPr>
        <w:t xml:space="preserve"> </w:t>
      </w:r>
      <w:r w:rsidRPr="00B74B12">
        <w:rPr>
          <w:sz w:val="16"/>
          <w:lang w:val="en-CA"/>
        </w:rPr>
        <w:t xml:space="preserve">  </w:t>
      </w:r>
    </w:p>
  </w:footnote>
  <w:footnote w:id="2">
    <w:p w:rsidR="00FD664A" w:rsidRPr="00FD664A" w:rsidRDefault="00FD664A">
      <w:pPr>
        <w:pStyle w:val="FootnoteText"/>
        <w:rPr>
          <w:lang w:val="en-CA"/>
        </w:rPr>
      </w:pPr>
      <w:r w:rsidRPr="00FD664A">
        <w:rPr>
          <w:rStyle w:val="FootnoteReference"/>
          <w:sz w:val="16"/>
        </w:rPr>
        <w:footnoteRef/>
      </w:r>
      <w:r w:rsidRPr="00FD664A">
        <w:rPr>
          <w:sz w:val="16"/>
          <w:lang w:val="en-CA"/>
        </w:rPr>
        <w:t xml:space="preserve"> Analysis of a European Reference Target System for 2030 (Fraunhofer ISI, October 2013)</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E6" w:rsidRDefault="00D238E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E6" w:rsidRDefault="00D238E6">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E6" w:rsidRDefault="00D238E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FBC"/>
    <w:multiLevelType w:val="multilevel"/>
    <w:tmpl w:val="BD7E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C6371"/>
    <w:multiLevelType w:val="multilevel"/>
    <w:tmpl w:val="7FEA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E1DBB"/>
    <w:multiLevelType w:val="multilevel"/>
    <w:tmpl w:val="85A4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rsids>
    <w:rsidRoot w:val="00883984"/>
    <w:rsid w:val="00007EAC"/>
    <w:rsid w:val="0001160E"/>
    <w:rsid w:val="0005372D"/>
    <w:rsid w:val="00090695"/>
    <w:rsid w:val="002043E9"/>
    <w:rsid w:val="00220FC3"/>
    <w:rsid w:val="002F0B8C"/>
    <w:rsid w:val="00314A6B"/>
    <w:rsid w:val="00344C9D"/>
    <w:rsid w:val="003E227A"/>
    <w:rsid w:val="00412929"/>
    <w:rsid w:val="004927F2"/>
    <w:rsid w:val="0055774E"/>
    <w:rsid w:val="00616EE0"/>
    <w:rsid w:val="0063013A"/>
    <w:rsid w:val="006329BF"/>
    <w:rsid w:val="00642123"/>
    <w:rsid w:val="006B2D40"/>
    <w:rsid w:val="006C0CCB"/>
    <w:rsid w:val="006D26AC"/>
    <w:rsid w:val="007B6330"/>
    <w:rsid w:val="00825B6B"/>
    <w:rsid w:val="008507C9"/>
    <w:rsid w:val="00883984"/>
    <w:rsid w:val="00886C4C"/>
    <w:rsid w:val="008B010A"/>
    <w:rsid w:val="008C1287"/>
    <w:rsid w:val="00967EA4"/>
    <w:rsid w:val="009B7AE2"/>
    <w:rsid w:val="009C1C51"/>
    <w:rsid w:val="00AA772B"/>
    <w:rsid w:val="00B3677D"/>
    <w:rsid w:val="00B74B12"/>
    <w:rsid w:val="00BC7605"/>
    <w:rsid w:val="00C029FB"/>
    <w:rsid w:val="00C14374"/>
    <w:rsid w:val="00C30DAB"/>
    <w:rsid w:val="00C602B9"/>
    <w:rsid w:val="00C70C2E"/>
    <w:rsid w:val="00CA7C54"/>
    <w:rsid w:val="00CB0CB0"/>
    <w:rsid w:val="00CE5FC8"/>
    <w:rsid w:val="00D166AB"/>
    <w:rsid w:val="00D238E6"/>
    <w:rsid w:val="00E078F9"/>
    <w:rsid w:val="00E43723"/>
    <w:rsid w:val="00F32FF1"/>
    <w:rsid w:val="00F452E3"/>
    <w:rsid w:val="00F86E89"/>
    <w:rsid w:val="00F92FB8"/>
    <w:rsid w:val="00FD664A"/>
  </w:rsids>
  <m:mathPr>
    <m:mathFont m:val="MS Gothic"/>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883984"/>
    <w:pPr>
      <w:spacing w:before="100" w:beforeAutospacing="1" w:after="100" w:afterAutospacing="1"/>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sid w:val="00883984"/>
    <w:rPr>
      <w:b/>
      <w:bCs/>
    </w:rPr>
  </w:style>
  <w:style w:type="character" w:styleId="Emphasis">
    <w:name w:val="Emphasis"/>
    <w:basedOn w:val="DefaultParagraphFont"/>
    <w:uiPriority w:val="20"/>
    <w:qFormat/>
    <w:rsid w:val="00883984"/>
    <w:rPr>
      <w:i/>
      <w:iCs/>
    </w:rPr>
  </w:style>
  <w:style w:type="paragraph" w:styleId="BalloonText">
    <w:name w:val="Balloon Text"/>
    <w:basedOn w:val="Normal"/>
    <w:link w:val="BalloonTextChar"/>
    <w:uiPriority w:val="99"/>
    <w:semiHidden/>
    <w:unhideWhenUsed/>
    <w:rsid w:val="00F86E89"/>
    <w:rPr>
      <w:rFonts w:ascii="Tahoma" w:hAnsi="Tahoma" w:cs="Tahoma"/>
      <w:sz w:val="16"/>
      <w:szCs w:val="16"/>
    </w:rPr>
  </w:style>
  <w:style w:type="character" w:customStyle="1" w:styleId="BalloonTextChar">
    <w:name w:val="Balloon Text Char"/>
    <w:basedOn w:val="DefaultParagraphFont"/>
    <w:link w:val="BalloonText"/>
    <w:uiPriority w:val="99"/>
    <w:semiHidden/>
    <w:rsid w:val="00F86E89"/>
    <w:rPr>
      <w:rFonts w:ascii="Tahoma" w:hAnsi="Tahoma" w:cs="Tahoma"/>
      <w:sz w:val="16"/>
      <w:szCs w:val="16"/>
    </w:rPr>
  </w:style>
  <w:style w:type="character" w:styleId="Hyperlink">
    <w:name w:val="Hyperlink"/>
    <w:basedOn w:val="DefaultParagraphFont"/>
    <w:uiPriority w:val="99"/>
    <w:unhideWhenUsed/>
    <w:rsid w:val="00886C4C"/>
    <w:rPr>
      <w:color w:val="0000FF" w:themeColor="hyperlink"/>
      <w:u w:val="single"/>
    </w:rPr>
  </w:style>
  <w:style w:type="paragraph" w:styleId="Header">
    <w:name w:val="header"/>
    <w:basedOn w:val="Normal"/>
    <w:link w:val="HeaderChar"/>
    <w:uiPriority w:val="99"/>
    <w:unhideWhenUsed/>
    <w:rsid w:val="00C602B9"/>
    <w:pPr>
      <w:tabs>
        <w:tab w:val="center" w:pos="4819"/>
        <w:tab w:val="right" w:pos="9638"/>
      </w:tabs>
    </w:pPr>
  </w:style>
  <w:style w:type="character" w:customStyle="1" w:styleId="HeaderChar">
    <w:name w:val="Header Char"/>
    <w:basedOn w:val="DefaultParagraphFont"/>
    <w:link w:val="Header"/>
    <w:uiPriority w:val="99"/>
    <w:rsid w:val="00C602B9"/>
  </w:style>
  <w:style w:type="paragraph" w:styleId="Footer">
    <w:name w:val="footer"/>
    <w:basedOn w:val="Normal"/>
    <w:link w:val="FooterChar"/>
    <w:uiPriority w:val="99"/>
    <w:unhideWhenUsed/>
    <w:rsid w:val="00C602B9"/>
    <w:pPr>
      <w:tabs>
        <w:tab w:val="center" w:pos="4819"/>
        <w:tab w:val="right" w:pos="9638"/>
      </w:tabs>
    </w:pPr>
  </w:style>
  <w:style w:type="character" w:customStyle="1" w:styleId="FooterChar">
    <w:name w:val="Footer Char"/>
    <w:basedOn w:val="DefaultParagraphFont"/>
    <w:link w:val="Footer"/>
    <w:uiPriority w:val="99"/>
    <w:rsid w:val="00C602B9"/>
  </w:style>
  <w:style w:type="character" w:styleId="CommentReference">
    <w:name w:val="annotation reference"/>
    <w:basedOn w:val="DefaultParagraphFont"/>
    <w:uiPriority w:val="99"/>
    <w:semiHidden/>
    <w:unhideWhenUsed/>
    <w:rsid w:val="00007EAC"/>
    <w:rPr>
      <w:sz w:val="16"/>
      <w:szCs w:val="16"/>
    </w:rPr>
  </w:style>
  <w:style w:type="paragraph" w:styleId="CommentText">
    <w:name w:val="annotation text"/>
    <w:basedOn w:val="Normal"/>
    <w:link w:val="CommentTextChar"/>
    <w:uiPriority w:val="99"/>
    <w:semiHidden/>
    <w:unhideWhenUsed/>
    <w:rsid w:val="00007EAC"/>
    <w:rPr>
      <w:sz w:val="20"/>
      <w:szCs w:val="20"/>
    </w:rPr>
  </w:style>
  <w:style w:type="character" w:customStyle="1" w:styleId="CommentTextChar">
    <w:name w:val="Comment Text Char"/>
    <w:basedOn w:val="DefaultParagraphFont"/>
    <w:link w:val="CommentText"/>
    <w:uiPriority w:val="99"/>
    <w:semiHidden/>
    <w:rsid w:val="00007EAC"/>
    <w:rPr>
      <w:sz w:val="20"/>
      <w:szCs w:val="20"/>
    </w:rPr>
  </w:style>
  <w:style w:type="paragraph" w:styleId="CommentSubject">
    <w:name w:val="annotation subject"/>
    <w:basedOn w:val="CommentText"/>
    <w:next w:val="CommentText"/>
    <w:link w:val="CommentSubjectChar"/>
    <w:uiPriority w:val="99"/>
    <w:semiHidden/>
    <w:unhideWhenUsed/>
    <w:rsid w:val="00007EAC"/>
    <w:rPr>
      <w:b/>
      <w:bCs/>
    </w:rPr>
  </w:style>
  <w:style w:type="character" w:customStyle="1" w:styleId="CommentSubjectChar">
    <w:name w:val="Comment Subject Char"/>
    <w:basedOn w:val="CommentTextChar"/>
    <w:link w:val="CommentSubject"/>
    <w:uiPriority w:val="99"/>
    <w:semiHidden/>
    <w:rsid w:val="00007EAC"/>
    <w:rPr>
      <w:b/>
      <w:bCs/>
      <w:sz w:val="20"/>
      <w:szCs w:val="20"/>
    </w:rPr>
  </w:style>
  <w:style w:type="paragraph" w:styleId="FootnoteText">
    <w:name w:val="footnote text"/>
    <w:basedOn w:val="Normal"/>
    <w:link w:val="FootnoteTextChar"/>
    <w:uiPriority w:val="99"/>
    <w:semiHidden/>
    <w:unhideWhenUsed/>
    <w:rsid w:val="00B74B12"/>
    <w:rPr>
      <w:sz w:val="20"/>
      <w:szCs w:val="20"/>
    </w:rPr>
  </w:style>
  <w:style w:type="character" w:customStyle="1" w:styleId="FootnoteTextChar">
    <w:name w:val="Footnote Text Char"/>
    <w:basedOn w:val="DefaultParagraphFont"/>
    <w:link w:val="FootnoteText"/>
    <w:uiPriority w:val="99"/>
    <w:semiHidden/>
    <w:rsid w:val="00B74B12"/>
    <w:rPr>
      <w:sz w:val="20"/>
      <w:szCs w:val="20"/>
    </w:rPr>
  </w:style>
  <w:style w:type="character" w:styleId="FootnoteReference">
    <w:name w:val="footnote reference"/>
    <w:basedOn w:val="DefaultParagraphFont"/>
    <w:uiPriority w:val="99"/>
    <w:semiHidden/>
    <w:unhideWhenUsed/>
    <w:rsid w:val="00B74B12"/>
    <w:rPr>
      <w:vertAlign w:val="superscript"/>
    </w:rPr>
  </w:style>
</w:styles>
</file>

<file path=word/webSettings.xml><?xml version="1.0" encoding="utf-8"?>
<w:webSettings xmlns:r="http://schemas.openxmlformats.org/officeDocument/2006/relationships" xmlns:w="http://schemas.openxmlformats.org/wordprocessingml/2006/main">
  <w:divs>
    <w:div w:id="135581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uroace.org/"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hyperlink" Target="http://www.euroace.org" TargetMode="External"/><Relationship Id="rId13" Type="http://schemas.openxmlformats.org/officeDocument/2006/relationships/hyperlink" Target="http://www.euroace.org/" TargetMode="External"/><Relationship Id="rId14" Type="http://schemas.openxmlformats.org/officeDocument/2006/relationships/hyperlink" Target="mailto:Adrian.joyce@euroace.org" TargetMode="External"/><Relationship Id="rId15" Type="http://schemas.openxmlformats.org/officeDocument/2006/relationships/hyperlink" Target="http://press.velux.com/" TargetMode="External"/><Relationship Id="rId16" Type="http://schemas.openxmlformats.org/officeDocument/2006/relationships/hyperlink" Target="http://twitter.com/velux" TargetMode="External"/><Relationship Id="rId17" Type="http://schemas.openxmlformats.org/officeDocument/2006/relationships/hyperlink" Target="https://www.facebook.com/velux" TargetMode="External"/><Relationship Id="rId18" Type="http://schemas.openxmlformats.org/officeDocument/2006/relationships/hyperlink" Target="http://www.velux.com/sustainable_living/demonstration_buildings" TargetMode="External"/><Relationship Id="rId19" Type="http://schemas.openxmlformats.org/officeDocument/2006/relationships/hyperlink" Target="mailto:pernille.franch@velux.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euroace.org/LinkClick.aspx?fileticket=_6t2o7aIVbo%3d&amp;tabi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01AB0-DA70-EE46-80EA-3729E87C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4673</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gregory zschuschen</cp:lastModifiedBy>
  <cp:revision>2</cp:revision>
  <cp:lastPrinted>2014-06-20T07:04:00Z</cp:lastPrinted>
  <dcterms:created xsi:type="dcterms:W3CDTF">2015-01-15T14:34:00Z</dcterms:created>
  <dcterms:modified xsi:type="dcterms:W3CDTF">2015-01-15T14:34:00Z</dcterms:modified>
</cp:coreProperties>
</file>